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1978"/>
        <w:gridCol w:w="727"/>
      </w:tblGrid>
      <w:tr w14:paraId="759F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2890B43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评分项目</w:t>
            </w:r>
          </w:p>
        </w:tc>
        <w:tc>
          <w:tcPr>
            <w:tcW w:w="11978" w:type="dxa"/>
            <w:tcBorders>
              <w:top w:val="single" w:color="auto" w:sz="4" w:space="0"/>
              <w:left w:val="single" w:color="auto" w:sz="4" w:space="0"/>
              <w:bottom w:val="single" w:color="auto" w:sz="4" w:space="0"/>
              <w:right w:val="single" w:color="auto" w:sz="4" w:space="0"/>
            </w:tcBorders>
            <w:vAlign w:val="center"/>
          </w:tcPr>
          <w:p w14:paraId="365138A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评分标准</w:t>
            </w:r>
          </w:p>
        </w:tc>
        <w:tc>
          <w:tcPr>
            <w:tcW w:w="727" w:type="dxa"/>
            <w:tcBorders>
              <w:top w:val="single" w:color="auto" w:sz="4" w:space="0"/>
              <w:left w:val="single" w:color="auto" w:sz="4" w:space="0"/>
              <w:bottom w:val="single" w:color="auto" w:sz="4" w:space="0"/>
              <w:right w:val="single" w:color="auto" w:sz="4" w:space="0"/>
            </w:tcBorders>
            <w:vAlign w:val="center"/>
          </w:tcPr>
          <w:p w14:paraId="130F8E0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分值</w:t>
            </w:r>
          </w:p>
        </w:tc>
      </w:tr>
      <w:tr w14:paraId="7656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815" w:type="dxa"/>
            <w:gridSpan w:val="3"/>
            <w:tcBorders>
              <w:top w:val="single" w:color="auto" w:sz="4" w:space="0"/>
              <w:left w:val="single" w:color="auto" w:sz="4" w:space="0"/>
              <w:bottom w:val="single" w:color="auto" w:sz="4" w:space="0"/>
              <w:right w:val="single" w:color="auto" w:sz="4" w:space="0"/>
            </w:tcBorders>
            <w:vAlign w:val="center"/>
          </w:tcPr>
          <w:p w14:paraId="66AE770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价格分（</w:t>
            </w:r>
            <w:r>
              <w:rPr>
                <w:rFonts w:hint="eastAsia" w:ascii="仿宋" w:hAnsi="仿宋" w:eastAsia="仿宋" w:cs="仿宋"/>
                <w:b/>
                <w:kern w:val="0"/>
                <w:sz w:val="21"/>
                <w:szCs w:val="21"/>
                <w:lang w:val="en-US" w:eastAsia="zh-CN"/>
              </w:rPr>
              <w:t>30</w:t>
            </w:r>
            <w:r>
              <w:rPr>
                <w:rFonts w:hint="eastAsia" w:ascii="仿宋" w:hAnsi="仿宋" w:eastAsia="仿宋" w:cs="仿宋"/>
                <w:b/>
                <w:kern w:val="0"/>
                <w:sz w:val="21"/>
                <w:szCs w:val="21"/>
              </w:rPr>
              <w:t>分）</w:t>
            </w:r>
          </w:p>
        </w:tc>
      </w:tr>
      <w:tr w14:paraId="6CAC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Borders>
              <w:top w:val="single" w:color="auto" w:sz="4" w:space="0"/>
              <w:left w:val="single" w:color="auto" w:sz="4" w:space="0"/>
              <w:bottom w:val="single" w:color="auto" w:sz="4" w:space="0"/>
              <w:right w:val="single" w:color="auto" w:sz="4" w:space="0"/>
            </w:tcBorders>
            <w:vAlign w:val="center"/>
          </w:tcPr>
          <w:p w14:paraId="13BFB31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价格分</w:t>
            </w:r>
          </w:p>
        </w:tc>
        <w:tc>
          <w:tcPr>
            <w:tcW w:w="11978" w:type="dxa"/>
            <w:tcBorders>
              <w:top w:val="single" w:color="auto" w:sz="4" w:space="0"/>
              <w:left w:val="single" w:color="auto" w:sz="4" w:space="0"/>
              <w:bottom w:val="single" w:color="auto" w:sz="4" w:space="0"/>
              <w:right w:val="single" w:color="auto" w:sz="4" w:space="0"/>
            </w:tcBorders>
            <w:vAlign w:val="center"/>
          </w:tcPr>
          <w:p w14:paraId="36550C5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价格分采用低价优先法计算，即满足磋商文件要求且最后报价最低的供应商的价格为磋商基准价，其价格分为满分。其他供应商的价格分统一按下列公式计算：</w:t>
            </w:r>
          </w:p>
          <w:p w14:paraId="4B3AFB6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磋商报价得分=（磋商基准价/最后磋商报价）×30%×100；计算结果保留至小数点后两位。 </w:t>
            </w:r>
          </w:p>
          <w:p w14:paraId="7DCA804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kern w:val="0"/>
                <w:sz w:val="21"/>
                <w:szCs w:val="21"/>
              </w:rPr>
            </w:pPr>
            <w:r>
              <w:rPr>
                <w:rFonts w:hint="eastAsia" w:ascii="仿宋" w:hAnsi="仿宋" w:eastAsia="仿宋" w:cs="仿宋"/>
                <w:b/>
                <w:bCs/>
                <w:color w:val="auto"/>
                <w:kern w:val="0"/>
                <w:sz w:val="21"/>
                <w:szCs w:val="21"/>
              </w:rPr>
              <w:t>注：</w:t>
            </w:r>
            <w:r>
              <w:rPr>
                <w:rFonts w:hint="eastAsia" w:ascii="仿宋" w:hAnsi="仿宋" w:eastAsia="仿宋" w:cs="仿宋"/>
                <w:b/>
                <w:bCs/>
                <w:color w:val="auto"/>
                <w:sz w:val="21"/>
                <w:szCs w:val="21"/>
                <w:lang w:val="en-US" w:eastAsia="zh-CN"/>
              </w:rPr>
              <w:t>投标报价包括住宿费(三星及以上或同等酒店住宿、条件优良的民宿；需提供具体住宿地点、设施设备情况及图片）、用餐费（不超过总报价费用的40%）、导游服务费（含出行当地地接导游费用）、正规旅游大巴费用（1人1座）、景点门票及景区交通缆车索道、保险费、税费等。</w:t>
            </w:r>
          </w:p>
        </w:tc>
        <w:tc>
          <w:tcPr>
            <w:tcW w:w="727" w:type="dxa"/>
            <w:tcBorders>
              <w:top w:val="single" w:color="auto" w:sz="4" w:space="0"/>
              <w:left w:val="single" w:color="auto" w:sz="4" w:space="0"/>
              <w:bottom w:val="single" w:color="auto" w:sz="4" w:space="0"/>
              <w:right w:val="single" w:color="auto" w:sz="4" w:space="0"/>
            </w:tcBorders>
            <w:vAlign w:val="center"/>
          </w:tcPr>
          <w:p w14:paraId="1DA93B0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i/>
                <w:kern w:val="0"/>
                <w:sz w:val="21"/>
                <w:szCs w:val="21"/>
              </w:rPr>
            </w:pPr>
            <w:r>
              <w:rPr>
                <w:rFonts w:hint="eastAsia" w:ascii="仿宋" w:hAnsi="仿宋" w:eastAsia="仿宋" w:cs="仿宋"/>
                <w:kern w:val="0"/>
                <w:sz w:val="21"/>
                <w:szCs w:val="21"/>
                <w:lang w:val="en-US" w:eastAsia="zh-CN"/>
              </w:rPr>
              <w:t>30</w:t>
            </w:r>
            <w:r>
              <w:rPr>
                <w:rFonts w:hint="eastAsia" w:ascii="仿宋" w:hAnsi="仿宋" w:eastAsia="仿宋" w:cs="仿宋"/>
                <w:kern w:val="0"/>
                <w:sz w:val="21"/>
                <w:szCs w:val="21"/>
              </w:rPr>
              <w:t>分</w:t>
            </w:r>
          </w:p>
        </w:tc>
      </w:tr>
      <w:tr w14:paraId="17CD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815" w:type="dxa"/>
            <w:gridSpan w:val="3"/>
            <w:tcBorders>
              <w:top w:val="single" w:color="auto" w:sz="4" w:space="0"/>
              <w:left w:val="single" w:color="auto" w:sz="4" w:space="0"/>
              <w:bottom w:val="single" w:color="auto" w:sz="4" w:space="0"/>
              <w:right w:val="single" w:color="auto" w:sz="4" w:space="0"/>
            </w:tcBorders>
            <w:vAlign w:val="center"/>
          </w:tcPr>
          <w:p w14:paraId="6AF3C1D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技术</w:t>
            </w:r>
            <w:r>
              <w:rPr>
                <w:rFonts w:hint="eastAsia" w:ascii="仿宋" w:hAnsi="仿宋" w:eastAsia="仿宋" w:cs="仿宋"/>
                <w:b/>
                <w:kern w:val="0"/>
                <w:sz w:val="21"/>
                <w:szCs w:val="21"/>
                <w:lang w:val="en-US" w:eastAsia="zh-CN"/>
              </w:rPr>
              <w:t>评分</w:t>
            </w:r>
            <w:r>
              <w:rPr>
                <w:rFonts w:hint="eastAsia" w:ascii="仿宋" w:hAnsi="仿宋" w:eastAsia="仿宋" w:cs="仿宋"/>
                <w:b/>
                <w:kern w:val="0"/>
                <w:sz w:val="21"/>
                <w:szCs w:val="21"/>
              </w:rPr>
              <w:t>（</w:t>
            </w:r>
            <w:r>
              <w:rPr>
                <w:rFonts w:hint="eastAsia" w:ascii="仿宋" w:hAnsi="仿宋" w:eastAsia="仿宋" w:cs="仿宋"/>
                <w:b/>
                <w:kern w:val="0"/>
                <w:sz w:val="21"/>
                <w:szCs w:val="21"/>
                <w:lang w:val="en-US" w:eastAsia="zh-CN"/>
              </w:rPr>
              <w:t>50</w:t>
            </w:r>
            <w:r>
              <w:rPr>
                <w:rFonts w:hint="eastAsia" w:ascii="仿宋" w:hAnsi="仿宋" w:eastAsia="仿宋" w:cs="仿宋"/>
                <w:b/>
                <w:kern w:val="0"/>
                <w:sz w:val="21"/>
                <w:szCs w:val="21"/>
              </w:rPr>
              <w:t>分）</w:t>
            </w:r>
          </w:p>
        </w:tc>
      </w:tr>
      <w:tr w14:paraId="6F98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Borders>
              <w:top w:val="single" w:color="auto" w:sz="4" w:space="0"/>
              <w:left w:val="single" w:color="auto" w:sz="4" w:space="0"/>
              <w:bottom w:val="single" w:color="auto" w:sz="4" w:space="0"/>
              <w:right w:val="single" w:color="auto" w:sz="4" w:space="0"/>
            </w:tcBorders>
            <w:vAlign w:val="center"/>
          </w:tcPr>
          <w:p w14:paraId="0DD1623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kern w:val="0"/>
                <w:sz w:val="21"/>
                <w:szCs w:val="21"/>
                <w:lang w:eastAsia="zh-CN"/>
              </w:rPr>
            </w:pPr>
            <w:r>
              <w:rPr>
                <w:rFonts w:hint="eastAsia" w:ascii="仿宋" w:hAnsi="仿宋" w:eastAsia="仿宋" w:cs="仿宋"/>
                <w:sz w:val="21"/>
                <w:szCs w:val="21"/>
                <w:lang w:val="en-US" w:eastAsia="zh-CN"/>
              </w:rPr>
              <w:t>基本项</w:t>
            </w:r>
          </w:p>
        </w:tc>
        <w:tc>
          <w:tcPr>
            <w:tcW w:w="11978" w:type="dxa"/>
            <w:tcBorders>
              <w:top w:val="single" w:color="auto" w:sz="4" w:space="0"/>
              <w:left w:val="single" w:color="auto" w:sz="4" w:space="0"/>
              <w:bottom w:val="single" w:color="auto" w:sz="4" w:space="0"/>
              <w:right w:val="single" w:color="auto" w:sz="4" w:space="0"/>
            </w:tcBorders>
            <w:vAlign w:val="center"/>
          </w:tcPr>
          <w:p w14:paraId="126ACC67">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kern w:val="0"/>
                <w:sz w:val="21"/>
                <w:szCs w:val="21"/>
              </w:rPr>
            </w:pPr>
            <w:r>
              <w:rPr>
                <w:rFonts w:hint="eastAsia" w:ascii="仿宋" w:hAnsi="仿宋" w:eastAsia="仿宋" w:cs="仿宋"/>
                <w:sz w:val="21"/>
                <w:szCs w:val="21"/>
                <w:lang w:val="en-US" w:eastAsia="zh-CN"/>
              </w:rPr>
              <w:t>供应商</w:t>
            </w:r>
            <w:r>
              <w:rPr>
                <w:rFonts w:hint="eastAsia" w:ascii="仿宋" w:hAnsi="仿宋" w:eastAsia="仿宋" w:cs="仿宋"/>
                <w:sz w:val="21"/>
                <w:szCs w:val="21"/>
              </w:rPr>
              <w:t>必须完全响应基本技术要求，否则投标无效。</w:t>
            </w:r>
            <w:r>
              <w:rPr>
                <w:rFonts w:hint="eastAsia" w:ascii="仿宋" w:hAnsi="仿宋" w:eastAsia="仿宋" w:cs="仿宋"/>
                <w:sz w:val="21"/>
                <w:szCs w:val="21"/>
                <w:lang w:val="en-US" w:eastAsia="zh-CN"/>
              </w:rPr>
              <w:t xml:space="preserve">  </w:t>
            </w:r>
            <w:r>
              <w:rPr>
                <w:rFonts w:hint="eastAsia" w:ascii="仿宋" w:hAnsi="仿宋" w:eastAsia="仿宋" w:cs="仿宋"/>
                <w:b/>
                <w:bCs/>
                <w:sz w:val="21"/>
                <w:szCs w:val="21"/>
              </w:rPr>
              <w:t>评审依据：提供技术响应</w:t>
            </w:r>
          </w:p>
        </w:tc>
        <w:tc>
          <w:tcPr>
            <w:tcW w:w="727" w:type="dxa"/>
            <w:tcBorders>
              <w:top w:val="single" w:color="auto" w:sz="4" w:space="0"/>
              <w:left w:val="single" w:color="auto" w:sz="4" w:space="0"/>
              <w:bottom w:val="single" w:color="auto" w:sz="4" w:space="0"/>
              <w:right w:val="single" w:color="auto" w:sz="4" w:space="0"/>
            </w:tcBorders>
            <w:vAlign w:val="center"/>
          </w:tcPr>
          <w:p w14:paraId="3104CA1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r>
      <w:tr w14:paraId="13B6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Borders>
              <w:top w:val="single" w:color="auto" w:sz="4" w:space="0"/>
              <w:left w:val="single" w:color="auto" w:sz="4" w:space="0"/>
              <w:bottom w:val="single" w:color="auto" w:sz="4" w:space="0"/>
              <w:right w:val="single" w:color="auto" w:sz="4" w:space="0"/>
            </w:tcBorders>
            <w:vAlign w:val="center"/>
          </w:tcPr>
          <w:p w14:paraId="068CDF4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整体服务方案</w:t>
            </w:r>
          </w:p>
        </w:tc>
        <w:tc>
          <w:tcPr>
            <w:tcW w:w="11978" w:type="dxa"/>
            <w:tcBorders>
              <w:top w:val="single" w:color="auto" w:sz="4" w:space="0"/>
              <w:left w:val="single" w:color="auto" w:sz="4" w:space="0"/>
              <w:bottom w:val="single" w:color="auto" w:sz="4" w:space="0"/>
              <w:right w:val="single" w:color="auto" w:sz="4" w:space="0"/>
            </w:tcBorders>
            <w:vAlign w:val="center"/>
          </w:tcPr>
          <w:p w14:paraId="36663DE5">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Cs/>
                <w:color w:val="auto"/>
                <w:sz w:val="21"/>
                <w:szCs w:val="21"/>
              </w:rPr>
            </w:pP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lang w:val="en-US" w:eastAsia="zh-CN"/>
              </w:rPr>
              <w:t>1</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lang w:val="en-US" w:eastAsia="zh-CN"/>
              </w:rPr>
              <w:t>供应商提供</w:t>
            </w:r>
            <w:r>
              <w:rPr>
                <w:rFonts w:hint="eastAsia" w:ascii="仿宋" w:hAnsi="仿宋" w:eastAsia="仿宋" w:cs="仿宋"/>
                <w:bCs/>
                <w:color w:val="000000"/>
                <w:sz w:val="21"/>
                <w:szCs w:val="21"/>
              </w:rPr>
              <w:t>详细服务流程</w:t>
            </w:r>
            <w:r>
              <w:rPr>
                <w:rFonts w:hint="eastAsia" w:ascii="仿宋" w:hAnsi="仿宋" w:eastAsia="仿宋" w:cs="仿宋"/>
                <w:bCs/>
                <w:color w:val="000000"/>
                <w:sz w:val="21"/>
                <w:szCs w:val="21"/>
                <w:lang w:val="en-US" w:eastAsia="zh-CN"/>
              </w:rPr>
              <w:t>总体方案</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rPr>
              <w:t>包括但不限于人员接待、食宿安排、突发事件管理、安全应急预案等。根据投标人提供的服务流程方案进行评分</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rPr>
              <w:t>提供的服务流程方案内容完整</w:t>
            </w:r>
            <w:r>
              <w:rPr>
                <w:rFonts w:hint="eastAsia" w:ascii="仿宋" w:hAnsi="仿宋" w:eastAsia="仿宋" w:cs="仿宋"/>
                <w:bCs/>
                <w:color w:val="000000"/>
                <w:sz w:val="21"/>
                <w:szCs w:val="21"/>
                <w:lang w:val="en-US" w:eastAsia="zh-CN"/>
              </w:rPr>
              <w:t>度高</w:t>
            </w:r>
            <w:r>
              <w:rPr>
                <w:rFonts w:hint="eastAsia" w:ascii="仿宋" w:hAnsi="仿宋" w:eastAsia="仿宋" w:cs="仿宋"/>
                <w:bCs/>
                <w:color w:val="000000"/>
                <w:sz w:val="21"/>
                <w:szCs w:val="21"/>
              </w:rPr>
              <w:t>，安排科学合理，人员齐备，可执行性强</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lang w:val="en-US" w:eastAsia="zh-CN"/>
              </w:rPr>
              <w:t>整体优秀</w:t>
            </w:r>
            <w:r>
              <w:rPr>
                <w:rFonts w:hint="eastAsia" w:ascii="仿宋" w:hAnsi="仿宋" w:eastAsia="仿宋" w:cs="仿宋"/>
                <w:bCs/>
                <w:color w:val="000000"/>
                <w:sz w:val="21"/>
                <w:szCs w:val="21"/>
              </w:rPr>
              <w:t>得</w:t>
            </w:r>
            <w:r>
              <w:rPr>
                <w:rFonts w:hint="eastAsia" w:ascii="仿宋" w:hAnsi="仿宋" w:eastAsia="仿宋" w:cs="仿宋"/>
                <w:bCs/>
                <w:color w:val="000000"/>
                <w:sz w:val="21"/>
                <w:szCs w:val="21"/>
                <w:lang w:val="en-US" w:eastAsia="zh-CN"/>
              </w:rPr>
              <w:t>8-10</w:t>
            </w:r>
            <w:r>
              <w:rPr>
                <w:rFonts w:hint="eastAsia" w:ascii="仿宋" w:hAnsi="仿宋" w:eastAsia="仿宋" w:cs="仿宋"/>
                <w:bCs/>
                <w:color w:val="000000"/>
                <w:sz w:val="21"/>
                <w:szCs w:val="21"/>
              </w:rPr>
              <w:t>分；</w:t>
            </w:r>
            <w:r>
              <w:rPr>
                <w:rFonts w:hint="eastAsia" w:ascii="仿宋" w:hAnsi="仿宋" w:eastAsia="仿宋" w:cs="仿宋"/>
                <w:bCs/>
                <w:color w:val="auto"/>
                <w:sz w:val="21"/>
                <w:szCs w:val="21"/>
              </w:rPr>
              <w:t>服务流程方案完整</w:t>
            </w:r>
            <w:r>
              <w:rPr>
                <w:rFonts w:hint="eastAsia" w:ascii="仿宋" w:hAnsi="仿宋" w:eastAsia="仿宋" w:cs="仿宋"/>
                <w:bCs/>
                <w:color w:val="auto"/>
                <w:sz w:val="21"/>
                <w:szCs w:val="21"/>
                <w:lang w:val="en-US" w:eastAsia="zh-CN"/>
              </w:rPr>
              <w:t>度</w:t>
            </w:r>
            <w:r>
              <w:rPr>
                <w:rFonts w:hint="eastAsia" w:ascii="仿宋" w:hAnsi="仿宋" w:eastAsia="仿宋" w:cs="仿宋"/>
                <w:bCs/>
                <w:color w:val="auto"/>
                <w:sz w:val="21"/>
                <w:szCs w:val="21"/>
              </w:rPr>
              <w:t>一般，安排较合理，有一定的执行性</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lang w:val="en-US" w:eastAsia="zh-CN"/>
              </w:rPr>
              <w:t>整体方案一般</w:t>
            </w:r>
            <w:r>
              <w:rPr>
                <w:rFonts w:hint="eastAsia" w:ascii="仿宋" w:hAnsi="仿宋" w:eastAsia="仿宋" w:cs="仿宋"/>
                <w:bCs/>
                <w:color w:val="auto"/>
                <w:sz w:val="21"/>
                <w:szCs w:val="21"/>
              </w:rPr>
              <w:t>得</w:t>
            </w:r>
            <w:r>
              <w:rPr>
                <w:rFonts w:hint="eastAsia" w:ascii="仿宋" w:hAnsi="仿宋" w:eastAsia="仿宋" w:cs="仿宋"/>
                <w:bCs/>
                <w:color w:val="auto"/>
                <w:sz w:val="21"/>
                <w:szCs w:val="21"/>
                <w:lang w:val="en-US" w:eastAsia="zh-CN"/>
              </w:rPr>
              <w:t>5-8</w:t>
            </w:r>
            <w:r>
              <w:rPr>
                <w:rFonts w:hint="eastAsia" w:ascii="仿宋" w:hAnsi="仿宋" w:eastAsia="仿宋" w:cs="仿宋"/>
                <w:bCs/>
                <w:color w:val="auto"/>
                <w:sz w:val="21"/>
                <w:szCs w:val="21"/>
              </w:rPr>
              <w:t>分；服务流程方案方案完</w:t>
            </w:r>
            <w:r>
              <w:rPr>
                <w:rFonts w:hint="eastAsia" w:ascii="仿宋" w:hAnsi="仿宋" w:eastAsia="仿宋" w:cs="仿宋"/>
                <w:bCs/>
                <w:color w:val="auto"/>
                <w:sz w:val="21"/>
                <w:szCs w:val="21"/>
                <w:lang w:val="en-US" w:eastAsia="zh-CN"/>
              </w:rPr>
              <w:t>较差</w:t>
            </w:r>
            <w:r>
              <w:rPr>
                <w:rFonts w:hint="eastAsia" w:ascii="仿宋" w:hAnsi="仿宋" w:eastAsia="仿宋" w:cs="仿宋"/>
                <w:bCs/>
                <w:color w:val="auto"/>
                <w:sz w:val="21"/>
                <w:szCs w:val="21"/>
              </w:rPr>
              <w:t>，安排</w:t>
            </w:r>
            <w:r>
              <w:rPr>
                <w:rFonts w:hint="eastAsia" w:ascii="仿宋" w:hAnsi="仿宋" w:eastAsia="仿宋" w:cs="仿宋"/>
                <w:bCs/>
                <w:color w:val="auto"/>
                <w:sz w:val="21"/>
                <w:szCs w:val="21"/>
                <w:lang w:val="en-US" w:eastAsia="zh-CN"/>
              </w:rPr>
              <w:t>不合理</w:t>
            </w:r>
            <w:r>
              <w:rPr>
                <w:rFonts w:hint="eastAsia" w:ascii="仿宋" w:hAnsi="仿宋" w:eastAsia="仿宋" w:cs="仿宋"/>
                <w:bCs/>
                <w:color w:val="auto"/>
                <w:sz w:val="21"/>
                <w:szCs w:val="21"/>
              </w:rPr>
              <w:t>，执行性</w:t>
            </w:r>
            <w:r>
              <w:rPr>
                <w:rFonts w:hint="eastAsia" w:ascii="仿宋" w:hAnsi="仿宋" w:eastAsia="仿宋" w:cs="仿宋"/>
                <w:bCs/>
                <w:color w:val="auto"/>
                <w:sz w:val="21"/>
                <w:szCs w:val="21"/>
                <w:lang w:val="en-US" w:eastAsia="zh-CN"/>
              </w:rPr>
              <w:t>较差</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lang w:val="en-US" w:eastAsia="zh-CN"/>
              </w:rPr>
              <w:t>整体方案较差的</w:t>
            </w:r>
            <w:r>
              <w:rPr>
                <w:rFonts w:hint="eastAsia" w:ascii="仿宋" w:hAnsi="仿宋" w:eastAsia="仿宋" w:cs="仿宋"/>
                <w:bCs/>
                <w:color w:val="auto"/>
                <w:sz w:val="21"/>
                <w:szCs w:val="21"/>
              </w:rPr>
              <w:t>得</w:t>
            </w:r>
            <w:r>
              <w:rPr>
                <w:rFonts w:hint="eastAsia" w:ascii="仿宋" w:hAnsi="仿宋" w:eastAsia="仿宋" w:cs="仿宋"/>
                <w:bCs/>
                <w:color w:val="auto"/>
                <w:sz w:val="21"/>
                <w:szCs w:val="21"/>
                <w:lang w:val="en-US" w:eastAsia="zh-CN"/>
              </w:rPr>
              <w:t>1-4</w:t>
            </w:r>
            <w:r>
              <w:rPr>
                <w:rFonts w:hint="eastAsia" w:ascii="仿宋" w:hAnsi="仿宋" w:eastAsia="仿宋" w:cs="仿宋"/>
                <w:bCs/>
                <w:color w:val="auto"/>
                <w:sz w:val="21"/>
                <w:szCs w:val="21"/>
              </w:rPr>
              <w:t>分</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未提供的不得分。</w:t>
            </w:r>
          </w:p>
          <w:p w14:paraId="6725DD74">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仿宋" w:hAnsi="仿宋" w:eastAsia="仿宋" w:cs="仿宋"/>
                <w:bCs/>
                <w:color w:val="auto"/>
                <w:sz w:val="21"/>
                <w:szCs w:val="21"/>
              </w:rPr>
            </w:pPr>
            <w:r>
              <w:rPr>
                <w:rFonts w:hint="eastAsia" w:ascii="仿宋" w:hAnsi="仿宋" w:eastAsia="仿宋" w:cs="仿宋"/>
                <w:b/>
                <w:bCs w:val="0"/>
                <w:color w:val="auto"/>
                <w:sz w:val="21"/>
                <w:szCs w:val="21"/>
              </w:rPr>
              <w:t>评审依据：提供详细服务流程方案</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lang w:val="en-US" w:eastAsia="zh-CN"/>
              </w:rPr>
              <w:t>不提供不得分</w:t>
            </w:r>
            <w:r>
              <w:rPr>
                <w:rFonts w:hint="eastAsia" w:ascii="仿宋" w:hAnsi="仿宋" w:eastAsia="仿宋" w:cs="仿宋"/>
                <w:b/>
                <w:bCs w:val="0"/>
                <w:color w:val="auto"/>
                <w:sz w:val="21"/>
                <w:szCs w:val="21"/>
              </w:rPr>
              <w:t>。</w:t>
            </w:r>
          </w:p>
          <w:p w14:paraId="03D692E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Cs/>
                <w:color w:val="000000"/>
                <w:sz w:val="21"/>
                <w:szCs w:val="21"/>
                <w:lang w:val="en-US"/>
              </w:rPr>
            </w:pPr>
            <w:r>
              <w:rPr>
                <w:rFonts w:hint="eastAsia" w:ascii="仿宋" w:hAnsi="仿宋" w:eastAsia="仿宋" w:cs="仿宋"/>
                <w:bCs/>
                <w:color w:val="000000"/>
                <w:sz w:val="21"/>
                <w:szCs w:val="21"/>
                <w:lang w:val="en-US" w:eastAsia="zh-CN"/>
              </w:rPr>
              <w:t>（2）供应商提供两条活动线路的具体行程安排方案。根据供应商提供的具体行程安排方案打分：提供的具体行程安排方案景点多、内容丰富得7-8分；提供的具体行程安排方案景点较多、内容较丰富得5-7分；提供的具体行程安排方案景点少、内容简单得1-4分；</w:t>
            </w:r>
            <w:r>
              <w:rPr>
                <w:rFonts w:hint="eastAsia" w:ascii="仿宋" w:hAnsi="仿宋" w:eastAsia="仿宋" w:cs="仿宋"/>
                <w:bCs/>
                <w:color w:val="000000"/>
                <w:sz w:val="21"/>
                <w:szCs w:val="21"/>
              </w:rPr>
              <w:t>未提供的不得分。</w:t>
            </w:r>
          </w:p>
          <w:p w14:paraId="1E87F381">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注：磋商文件中提供的参考线路是要求供应商必须能操作供采购人选择的，但供应商也可以增加其他合适可行的线路供采购人选择，最终活动线路以双方协商无异议的为准。</w:t>
            </w:r>
          </w:p>
          <w:p w14:paraId="44E83FE0">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评审依据：提供详细行程安排方案，不提供不得分。</w:t>
            </w:r>
          </w:p>
          <w:p w14:paraId="0D314D0B">
            <w:pPr>
              <w:keepNext w:val="0"/>
              <w:keepLines w:val="0"/>
              <w:pageBreakBefore w:val="0"/>
              <w:widowControl/>
              <w:kinsoku/>
              <w:wordWrap/>
              <w:overflowPunct/>
              <w:topLinePunct w:val="0"/>
              <w:autoSpaceDE/>
              <w:autoSpaceDN/>
              <w:bidi w:val="0"/>
              <w:adjustRightInd/>
              <w:snapToGrid/>
              <w:spacing w:line="480" w:lineRule="exact"/>
              <w:ind w:firstLine="468" w:firstLineChars="200"/>
              <w:jc w:val="left"/>
              <w:textAlignment w:val="auto"/>
              <w:rPr>
                <w:rFonts w:hint="eastAsia" w:ascii="仿宋" w:hAnsi="仿宋" w:eastAsia="仿宋" w:cs="仿宋"/>
                <w:sz w:val="21"/>
                <w:szCs w:val="21"/>
              </w:rPr>
            </w:pPr>
            <w:r>
              <w:rPr>
                <w:rFonts w:hint="eastAsia" w:ascii="仿宋" w:hAnsi="仿宋" w:eastAsia="仿宋" w:cs="仿宋"/>
                <w:spacing w:val="12"/>
                <w:sz w:val="21"/>
                <w:szCs w:val="21"/>
              </w:rPr>
              <w:t>(3)供应商提供旅游保险投保方案，包括不限于旅行社责任险、</w:t>
            </w:r>
            <w:r>
              <w:rPr>
                <w:rFonts w:hint="eastAsia" w:ascii="仿宋" w:hAnsi="仿宋" w:eastAsia="仿宋" w:cs="仿宋"/>
                <w:spacing w:val="9"/>
                <w:sz w:val="21"/>
                <w:szCs w:val="21"/>
              </w:rPr>
              <w:t>旅游意外险等，风险类型包括但不限于：意外/疾</w:t>
            </w:r>
            <w:r>
              <w:rPr>
                <w:rFonts w:hint="eastAsia" w:ascii="仿宋" w:hAnsi="仿宋" w:eastAsia="仿宋" w:cs="仿宋"/>
                <w:spacing w:val="8"/>
                <w:sz w:val="21"/>
                <w:szCs w:val="21"/>
              </w:rPr>
              <w:t>病医疗、紧急救</w:t>
            </w:r>
            <w:r>
              <w:rPr>
                <w:rFonts w:hint="eastAsia" w:ascii="仿宋" w:hAnsi="仿宋" w:eastAsia="仿宋" w:cs="仿宋"/>
                <w:spacing w:val="7"/>
                <w:sz w:val="21"/>
                <w:szCs w:val="21"/>
              </w:rPr>
              <w:t>援、身故/伤残、高风险运动、财产损失、旅行不便。方案内容详细全面、可行性高的得</w:t>
            </w:r>
            <w:r>
              <w:rPr>
                <w:rFonts w:hint="eastAsia" w:ascii="仿宋" w:hAnsi="仿宋" w:eastAsia="仿宋" w:cs="仿宋"/>
                <w:spacing w:val="7"/>
                <w:sz w:val="21"/>
                <w:szCs w:val="21"/>
                <w:lang w:val="en-US" w:eastAsia="zh-CN"/>
              </w:rPr>
              <w:t>3</w:t>
            </w:r>
            <w:r>
              <w:rPr>
                <w:rFonts w:hint="eastAsia" w:ascii="仿宋" w:hAnsi="仿宋" w:eastAsia="仿宋" w:cs="仿宋"/>
                <w:spacing w:val="7"/>
                <w:sz w:val="21"/>
                <w:szCs w:val="21"/>
              </w:rPr>
              <w:t>分；方案内容较全，可行性一般的得</w:t>
            </w:r>
            <w:r>
              <w:rPr>
                <w:rFonts w:hint="eastAsia" w:ascii="仿宋" w:hAnsi="仿宋" w:eastAsia="仿宋" w:cs="仿宋"/>
                <w:spacing w:val="6"/>
                <w:sz w:val="21"/>
                <w:szCs w:val="21"/>
                <w:lang w:val="en-US" w:eastAsia="zh-CN"/>
              </w:rPr>
              <w:t>2</w:t>
            </w:r>
            <w:r>
              <w:rPr>
                <w:rFonts w:hint="eastAsia" w:ascii="仿宋" w:hAnsi="仿宋" w:eastAsia="仿宋" w:cs="仿宋"/>
                <w:spacing w:val="6"/>
                <w:sz w:val="21"/>
                <w:szCs w:val="21"/>
              </w:rPr>
              <w:t>分；</w:t>
            </w:r>
            <w:r>
              <w:rPr>
                <w:rFonts w:hint="eastAsia" w:ascii="仿宋" w:hAnsi="仿宋" w:eastAsia="仿宋" w:cs="仿宋"/>
                <w:spacing w:val="11"/>
                <w:sz w:val="21"/>
                <w:szCs w:val="21"/>
              </w:rPr>
              <w:t>方案内容不全，可行性较差的得1分。</w:t>
            </w:r>
          </w:p>
          <w:p w14:paraId="65D86CAE">
            <w:pPr>
              <w:pStyle w:val="4"/>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1"/>
                <w:szCs w:val="21"/>
                <w:lang w:val="en-US" w:eastAsia="zh-CN"/>
              </w:rPr>
            </w:pPr>
            <w:r>
              <w:rPr>
                <w:rFonts w:hint="eastAsia" w:ascii="仿宋" w:hAnsi="仿宋" w:eastAsia="仿宋" w:cs="仿宋"/>
                <w:b/>
                <w:bCs/>
                <w:spacing w:val="5"/>
                <w:sz w:val="21"/>
                <w:szCs w:val="21"/>
              </w:rPr>
              <w:t>评审依据：供应商提供旅游保险投保方案，不提供不得分。</w:t>
            </w:r>
          </w:p>
        </w:tc>
        <w:tc>
          <w:tcPr>
            <w:tcW w:w="727" w:type="dxa"/>
            <w:tcBorders>
              <w:top w:val="single" w:color="auto" w:sz="4" w:space="0"/>
              <w:left w:val="single" w:color="auto" w:sz="4" w:space="0"/>
              <w:bottom w:val="single" w:color="auto" w:sz="4" w:space="0"/>
              <w:right w:val="single" w:color="auto" w:sz="4" w:space="0"/>
            </w:tcBorders>
            <w:vAlign w:val="center"/>
          </w:tcPr>
          <w:p w14:paraId="366E1C7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20</w:t>
            </w:r>
            <w:r>
              <w:rPr>
                <w:rFonts w:hint="eastAsia" w:ascii="仿宋" w:hAnsi="仿宋" w:eastAsia="仿宋" w:cs="仿宋"/>
                <w:kern w:val="0"/>
                <w:sz w:val="21"/>
                <w:szCs w:val="21"/>
              </w:rPr>
              <w:t>分</w:t>
            </w:r>
          </w:p>
        </w:tc>
      </w:tr>
      <w:tr w14:paraId="44CE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Borders>
              <w:top w:val="single" w:color="auto" w:sz="4" w:space="0"/>
              <w:left w:val="single" w:color="auto" w:sz="4" w:space="0"/>
              <w:bottom w:val="single" w:color="auto" w:sz="4" w:space="0"/>
              <w:right w:val="single" w:color="auto" w:sz="4" w:space="0"/>
            </w:tcBorders>
            <w:vAlign w:val="center"/>
          </w:tcPr>
          <w:p w14:paraId="3374E17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住宿</w:t>
            </w:r>
          </w:p>
        </w:tc>
        <w:tc>
          <w:tcPr>
            <w:tcW w:w="11978" w:type="dxa"/>
            <w:tcBorders>
              <w:top w:val="single" w:color="auto" w:sz="4" w:space="0"/>
              <w:left w:val="single" w:color="auto" w:sz="4" w:space="0"/>
              <w:bottom w:val="single" w:color="auto" w:sz="4" w:space="0"/>
              <w:right w:val="single" w:color="auto" w:sz="4" w:space="0"/>
            </w:tcBorders>
            <w:vAlign w:val="center"/>
          </w:tcPr>
          <w:p w14:paraId="65E64AAF">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Cs/>
                <w:color w:val="FF0000"/>
                <w:sz w:val="21"/>
                <w:szCs w:val="21"/>
                <w:lang w:val="en-US" w:eastAsia="zh-CN"/>
              </w:rPr>
            </w:pPr>
            <w:r>
              <w:rPr>
                <w:rFonts w:hint="eastAsia" w:ascii="仿宋" w:hAnsi="仿宋" w:eastAsia="仿宋" w:cs="仿宋"/>
                <w:bCs/>
                <w:color w:val="000000"/>
                <w:sz w:val="21"/>
                <w:szCs w:val="21"/>
                <w:lang w:val="en-US" w:eastAsia="zh-CN"/>
              </w:rPr>
              <w:t>供应商承诺提供的住宿酒店四星级（携程4钻）及以上标准，环境优雅，设施设备高级完备，服务一流的得15分，</w:t>
            </w:r>
            <w:r>
              <w:rPr>
                <w:rFonts w:hint="eastAsia" w:ascii="仿宋" w:hAnsi="仿宋" w:eastAsia="仿宋" w:cs="仿宋"/>
                <w:bCs/>
                <w:color w:val="auto"/>
                <w:sz w:val="21"/>
                <w:szCs w:val="21"/>
                <w:lang w:val="en-US" w:eastAsia="zh-CN"/>
              </w:rPr>
              <w:t>不提供不得分。</w:t>
            </w:r>
          </w:p>
          <w:p w14:paraId="588A4622">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1"/>
                <w:szCs w:val="21"/>
              </w:rPr>
            </w:pPr>
            <w:r>
              <w:rPr>
                <w:rFonts w:hint="eastAsia" w:ascii="仿宋" w:hAnsi="仿宋" w:eastAsia="仿宋" w:cs="仿宋"/>
                <w:b/>
                <w:bCs w:val="0"/>
                <w:color w:val="000000"/>
                <w:sz w:val="21"/>
                <w:szCs w:val="21"/>
                <w:lang w:val="en-US" w:eastAsia="zh-CN"/>
              </w:rPr>
              <w:t>评审依据：提供具体住宿地点、设施设备情况（含图片、证书），并提供相应承诺函，加盖供应商公章。</w:t>
            </w:r>
          </w:p>
        </w:tc>
        <w:tc>
          <w:tcPr>
            <w:tcW w:w="727" w:type="dxa"/>
            <w:tcBorders>
              <w:top w:val="single" w:color="auto" w:sz="4" w:space="0"/>
              <w:left w:val="single" w:color="auto" w:sz="4" w:space="0"/>
              <w:bottom w:val="single" w:color="auto" w:sz="4" w:space="0"/>
              <w:right w:val="single" w:color="auto" w:sz="4" w:space="0"/>
            </w:tcBorders>
            <w:vAlign w:val="center"/>
          </w:tcPr>
          <w:p w14:paraId="7DDE60F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分</w:t>
            </w:r>
          </w:p>
        </w:tc>
      </w:tr>
      <w:tr w14:paraId="52E6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52CA98B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餐食</w:t>
            </w:r>
          </w:p>
        </w:tc>
        <w:tc>
          <w:tcPr>
            <w:tcW w:w="11978" w:type="dxa"/>
            <w:tcBorders>
              <w:top w:val="single" w:color="auto" w:sz="4" w:space="0"/>
              <w:left w:val="single" w:color="auto" w:sz="4" w:space="0"/>
              <w:bottom w:val="single" w:color="auto" w:sz="4" w:space="0"/>
              <w:right w:val="single" w:color="auto" w:sz="4" w:space="0"/>
            </w:tcBorders>
            <w:vAlign w:val="center"/>
          </w:tcPr>
          <w:p w14:paraId="792D2A8B">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1.供应商承诺提供一早三正餐（含2中餐和1晚餐）的得5分，不提供不得分。</w:t>
            </w:r>
          </w:p>
          <w:p w14:paraId="6784DCCC">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w:t>
            </w:r>
            <w:r>
              <w:rPr>
                <w:rFonts w:hint="eastAsia" w:ascii="仿宋" w:hAnsi="仿宋" w:eastAsia="仿宋" w:cs="仿宋"/>
                <w:b w:val="0"/>
                <w:bCs/>
                <w:color w:val="000000"/>
                <w:sz w:val="21"/>
                <w:szCs w:val="21"/>
                <w:lang w:val="en-US" w:eastAsia="zh-CN"/>
              </w:rPr>
              <w:t>供应商承诺提供菜单菜品搭配优秀、有特色的得10分；菜单菜品搭配良好的得5分。</w:t>
            </w:r>
          </w:p>
          <w:p w14:paraId="0FF69B88">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备注：餐食标准不低于本项目基本要求。餐厅环境设施设备优雅舒适、菜单菜品丰富。</w:t>
            </w:r>
          </w:p>
          <w:p w14:paraId="0C2E1D8B">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仿宋" w:hAnsi="仿宋" w:eastAsia="仿宋" w:cs="仿宋"/>
                <w:b/>
                <w:bCs w:val="0"/>
                <w:color w:val="000000"/>
                <w:sz w:val="21"/>
                <w:szCs w:val="21"/>
                <w:lang w:val="en-US" w:eastAsia="zh-CN"/>
              </w:rPr>
            </w:pPr>
            <w:r>
              <w:rPr>
                <w:rFonts w:hint="eastAsia" w:ascii="仿宋" w:hAnsi="仿宋" w:eastAsia="仿宋" w:cs="仿宋"/>
                <w:b/>
                <w:bCs w:val="0"/>
                <w:color w:val="000000"/>
                <w:sz w:val="21"/>
                <w:szCs w:val="21"/>
                <w:lang w:val="en-US" w:eastAsia="zh-CN"/>
              </w:rPr>
              <w:t>评审依据：提供具体餐食地点、环境设施、餐厅食品安全证书、餐厅环境设施设备、菜单等的照片、图片，并提供相应承诺函，加盖供应商公章。</w:t>
            </w:r>
          </w:p>
        </w:tc>
        <w:tc>
          <w:tcPr>
            <w:tcW w:w="727" w:type="dxa"/>
            <w:tcBorders>
              <w:top w:val="single" w:color="auto" w:sz="4" w:space="0"/>
              <w:left w:val="single" w:color="auto" w:sz="4" w:space="0"/>
              <w:bottom w:val="single" w:color="auto" w:sz="4" w:space="0"/>
              <w:right w:val="single" w:color="auto" w:sz="4" w:space="0"/>
            </w:tcBorders>
            <w:vAlign w:val="center"/>
          </w:tcPr>
          <w:p w14:paraId="12288D5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15分</w:t>
            </w:r>
          </w:p>
        </w:tc>
      </w:tr>
      <w:tr w14:paraId="5B93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815" w:type="dxa"/>
            <w:gridSpan w:val="3"/>
            <w:tcBorders>
              <w:top w:val="single" w:color="auto" w:sz="4" w:space="0"/>
              <w:left w:val="single" w:color="auto" w:sz="4" w:space="0"/>
              <w:bottom w:val="single" w:color="auto" w:sz="4" w:space="0"/>
              <w:right w:val="single" w:color="auto" w:sz="4" w:space="0"/>
            </w:tcBorders>
            <w:vAlign w:val="center"/>
          </w:tcPr>
          <w:p w14:paraId="309E292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kern w:val="0"/>
                <w:sz w:val="21"/>
                <w:szCs w:val="21"/>
              </w:rPr>
            </w:pPr>
            <w:r>
              <w:rPr>
                <w:rFonts w:hint="eastAsia" w:ascii="仿宋" w:hAnsi="仿宋" w:eastAsia="仿宋" w:cs="仿宋"/>
                <w:b/>
                <w:color w:val="000000"/>
                <w:sz w:val="21"/>
                <w:szCs w:val="21"/>
              </w:rPr>
              <w:t>商务部分</w:t>
            </w:r>
            <w:r>
              <w:rPr>
                <w:rFonts w:hint="eastAsia" w:ascii="仿宋" w:hAnsi="仿宋" w:eastAsia="仿宋" w:cs="仿宋"/>
                <w:b/>
                <w:kern w:val="0"/>
                <w:sz w:val="21"/>
                <w:szCs w:val="21"/>
              </w:rPr>
              <w:t>（</w:t>
            </w:r>
            <w:r>
              <w:rPr>
                <w:rFonts w:hint="eastAsia" w:ascii="仿宋" w:hAnsi="仿宋" w:eastAsia="仿宋" w:cs="仿宋"/>
                <w:b/>
                <w:kern w:val="0"/>
                <w:sz w:val="21"/>
                <w:szCs w:val="21"/>
                <w:lang w:val="en-US" w:eastAsia="zh-CN"/>
              </w:rPr>
              <w:t>20</w:t>
            </w:r>
            <w:r>
              <w:rPr>
                <w:rFonts w:hint="eastAsia" w:ascii="仿宋" w:hAnsi="仿宋" w:eastAsia="仿宋" w:cs="仿宋"/>
                <w:b/>
                <w:kern w:val="0"/>
                <w:sz w:val="21"/>
                <w:szCs w:val="21"/>
              </w:rPr>
              <w:t>分）</w:t>
            </w:r>
          </w:p>
        </w:tc>
      </w:tr>
      <w:tr w14:paraId="4B7E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4DD526B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基本项</w:t>
            </w:r>
          </w:p>
        </w:tc>
        <w:tc>
          <w:tcPr>
            <w:tcW w:w="11978" w:type="dxa"/>
            <w:tcBorders>
              <w:top w:val="single" w:color="auto" w:sz="4" w:space="0"/>
              <w:left w:val="single" w:color="auto" w:sz="4" w:space="0"/>
              <w:bottom w:val="single" w:color="auto" w:sz="4" w:space="0"/>
              <w:right w:val="single" w:color="auto" w:sz="4" w:space="0"/>
            </w:tcBorders>
            <w:vAlign w:val="center"/>
          </w:tcPr>
          <w:p w14:paraId="0D66ACA6">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color w:val="auto"/>
                <w:sz w:val="21"/>
                <w:szCs w:val="21"/>
                <w:u w:val="single"/>
              </w:rPr>
            </w:pPr>
            <w:r>
              <w:rPr>
                <w:rFonts w:hint="eastAsia" w:ascii="仿宋" w:hAnsi="仿宋" w:eastAsia="仿宋" w:cs="仿宋"/>
                <w:color w:val="auto"/>
                <w:sz w:val="21"/>
                <w:szCs w:val="21"/>
                <w:lang w:val="en-US" w:eastAsia="zh-CN"/>
              </w:rPr>
              <w:t>供应商</w:t>
            </w:r>
            <w:r>
              <w:rPr>
                <w:rFonts w:hint="eastAsia" w:ascii="仿宋" w:hAnsi="仿宋" w:eastAsia="仿宋" w:cs="仿宋"/>
                <w:color w:val="auto"/>
                <w:sz w:val="21"/>
                <w:szCs w:val="21"/>
              </w:rPr>
              <w:t>必须完全响应基本商务要求，否则投标无效。</w:t>
            </w:r>
            <w:r>
              <w:rPr>
                <w:rFonts w:hint="eastAsia" w:ascii="仿宋" w:hAnsi="仿宋" w:eastAsia="仿宋" w:cs="仿宋"/>
                <w:color w:val="auto"/>
                <w:sz w:val="21"/>
                <w:szCs w:val="21"/>
                <w:lang w:val="en-US" w:eastAsia="zh-CN"/>
              </w:rPr>
              <w:t xml:space="preserve"> </w:t>
            </w:r>
            <w:r>
              <w:rPr>
                <w:rFonts w:hint="eastAsia" w:ascii="仿宋" w:hAnsi="仿宋" w:eastAsia="仿宋" w:cs="仿宋"/>
                <w:b/>
                <w:bCs/>
                <w:color w:val="auto"/>
                <w:sz w:val="21"/>
                <w:szCs w:val="21"/>
              </w:rPr>
              <w:t>评审依据：提供商务要求响应</w:t>
            </w:r>
          </w:p>
        </w:tc>
        <w:tc>
          <w:tcPr>
            <w:tcW w:w="727" w:type="dxa"/>
            <w:tcBorders>
              <w:top w:val="single" w:color="auto" w:sz="4" w:space="0"/>
              <w:left w:val="single" w:color="auto" w:sz="4" w:space="0"/>
              <w:bottom w:val="single" w:color="auto" w:sz="4" w:space="0"/>
              <w:right w:val="single" w:color="auto" w:sz="4" w:space="0"/>
            </w:tcBorders>
            <w:vAlign w:val="center"/>
          </w:tcPr>
          <w:p w14:paraId="197FC31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1"/>
                <w:szCs w:val="21"/>
                <w:u w:val="single"/>
                <w:lang w:val="en-US" w:eastAsia="zh-CN"/>
              </w:rPr>
            </w:pPr>
            <w:r>
              <w:rPr>
                <w:rFonts w:hint="eastAsia" w:ascii="仿宋" w:hAnsi="仿宋" w:eastAsia="仿宋" w:cs="仿宋"/>
                <w:b w:val="0"/>
                <w:bCs/>
                <w:color w:val="auto"/>
                <w:sz w:val="21"/>
                <w:szCs w:val="21"/>
                <w:u w:val="none"/>
                <w:lang w:val="en-US" w:eastAsia="zh-CN"/>
              </w:rPr>
              <w:t>\</w:t>
            </w:r>
          </w:p>
        </w:tc>
      </w:tr>
      <w:tr w14:paraId="4F3C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Borders>
              <w:top w:val="single" w:color="auto" w:sz="4" w:space="0"/>
              <w:left w:val="single" w:color="auto" w:sz="4" w:space="0"/>
              <w:bottom w:val="single" w:color="auto" w:sz="4" w:space="0"/>
              <w:right w:val="single" w:color="auto" w:sz="4" w:space="0"/>
            </w:tcBorders>
            <w:vAlign w:val="center"/>
          </w:tcPr>
          <w:p w14:paraId="236AB76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拟派服务团队</w:t>
            </w:r>
          </w:p>
        </w:tc>
        <w:tc>
          <w:tcPr>
            <w:tcW w:w="11978" w:type="dxa"/>
            <w:tcBorders>
              <w:top w:val="single" w:color="auto" w:sz="4" w:space="0"/>
              <w:left w:val="single" w:color="auto" w:sz="4" w:space="0"/>
              <w:bottom w:val="single" w:color="auto" w:sz="4" w:space="0"/>
              <w:right w:val="single" w:color="auto" w:sz="4" w:space="0"/>
            </w:tcBorders>
            <w:vAlign w:val="center"/>
          </w:tcPr>
          <w:p w14:paraId="20FBDA85">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spacing w:val="2"/>
                <w:sz w:val="21"/>
                <w:szCs w:val="21"/>
              </w:rPr>
              <w:t>(</w:t>
            </w:r>
            <w:r>
              <w:rPr>
                <w:rFonts w:hint="eastAsia" w:ascii="仿宋" w:hAnsi="仿宋" w:eastAsia="仿宋" w:cs="仿宋"/>
                <w:b w:val="0"/>
                <w:bCs w:val="0"/>
                <w:color w:val="auto"/>
                <w:sz w:val="21"/>
                <w:szCs w:val="21"/>
                <w:lang w:val="en-US" w:eastAsia="zh-CN"/>
              </w:rPr>
              <w:t>1)根据参加人数合理安排服务团队，供应商就本项目拟派服务团队有2人(含)以上得1分，每增加1人得1分。本项满分3分。</w:t>
            </w:r>
          </w:p>
          <w:p w14:paraId="1FCF7160">
            <w:pPr>
              <w:keepNext w:val="0"/>
              <w:keepLines w:val="0"/>
              <w:pageBreakBefore w:val="0"/>
              <w:widowControl/>
              <w:kinsoku/>
              <w:wordWrap/>
              <w:overflowPunct/>
              <w:topLinePunct w:val="0"/>
              <w:autoSpaceDE/>
              <w:autoSpaceDN/>
              <w:bidi w:val="0"/>
              <w:adjustRightInd/>
              <w:snapToGrid/>
              <w:spacing w:line="480" w:lineRule="exact"/>
              <w:ind w:firstLine="422" w:firstLineChars="200"/>
              <w:jc w:val="left"/>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评审依据：提供人员名单及投标截止时间前6个月中任意一个月的社保缴纳证明材料及复印件并加盖供应商公章。</w:t>
            </w:r>
          </w:p>
          <w:p w14:paraId="51C93951">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(2)服务团队中其中包含1名高级及以上导游人员的得1分。在此基础上每增加一位高级及以上导游人员得1分，每增加一位中级导游员加0.5分，最多得1分。本项满分2分 。</w:t>
            </w:r>
          </w:p>
          <w:p w14:paraId="638F9A46">
            <w:pPr>
              <w:keepNext w:val="0"/>
              <w:keepLines w:val="0"/>
              <w:pageBreakBefore w:val="0"/>
              <w:widowControl/>
              <w:kinsoku/>
              <w:wordWrap/>
              <w:overflowPunct/>
              <w:topLinePunct w:val="0"/>
              <w:autoSpaceDE/>
              <w:autoSpaceDN/>
              <w:bidi w:val="0"/>
              <w:adjustRightInd/>
              <w:snapToGrid/>
              <w:spacing w:line="480" w:lineRule="exact"/>
              <w:ind w:firstLine="422" w:firstLineChars="200"/>
              <w:jc w:val="left"/>
              <w:textAlignment w:val="auto"/>
              <w:rPr>
                <w:rFonts w:hint="eastAsia" w:ascii="仿宋" w:hAnsi="仿宋" w:eastAsia="仿宋" w:cs="仿宋"/>
                <w:color w:val="auto"/>
                <w:sz w:val="21"/>
                <w:szCs w:val="21"/>
                <w:lang w:val="en-GB"/>
              </w:rPr>
            </w:pPr>
            <w:r>
              <w:rPr>
                <w:rFonts w:hint="eastAsia" w:ascii="仿宋" w:hAnsi="仿宋" w:eastAsia="仿宋" w:cs="仿宋"/>
                <w:b/>
                <w:bCs/>
                <w:color w:val="auto"/>
                <w:sz w:val="21"/>
                <w:szCs w:val="21"/>
                <w:lang w:val="en-US" w:eastAsia="zh-CN"/>
              </w:rPr>
              <w:t>评审依据：需提供导游员证书复印件加盖公章，未按照以上要求提供的不得分。</w:t>
            </w:r>
          </w:p>
        </w:tc>
        <w:tc>
          <w:tcPr>
            <w:tcW w:w="727" w:type="dxa"/>
            <w:tcBorders>
              <w:top w:val="single" w:color="auto" w:sz="4" w:space="0"/>
              <w:left w:val="single" w:color="auto" w:sz="4" w:space="0"/>
              <w:bottom w:val="single" w:color="auto" w:sz="4" w:space="0"/>
              <w:right w:val="single" w:color="auto" w:sz="4" w:space="0"/>
            </w:tcBorders>
            <w:vAlign w:val="center"/>
          </w:tcPr>
          <w:p w14:paraId="1851290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5</w:t>
            </w:r>
            <w:r>
              <w:rPr>
                <w:rFonts w:hint="eastAsia" w:ascii="仿宋" w:hAnsi="仿宋" w:eastAsia="仿宋" w:cs="仿宋"/>
                <w:color w:val="auto"/>
                <w:kern w:val="0"/>
                <w:sz w:val="21"/>
                <w:szCs w:val="21"/>
              </w:rPr>
              <w:t>分</w:t>
            </w:r>
          </w:p>
        </w:tc>
      </w:tr>
      <w:tr w14:paraId="3659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25EC85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类似业绩及荣誉</w:t>
            </w:r>
          </w:p>
        </w:tc>
        <w:tc>
          <w:tcPr>
            <w:tcW w:w="11978" w:type="dxa"/>
            <w:tcBorders>
              <w:top w:val="single" w:color="auto" w:sz="4" w:space="0"/>
              <w:left w:val="single" w:color="auto" w:sz="4" w:space="0"/>
              <w:bottom w:val="single" w:color="auto" w:sz="4" w:space="0"/>
              <w:right w:val="single" w:color="auto" w:sz="4" w:space="0"/>
            </w:tcBorders>
            <w:vAlign w:val="center"/>
          </w:tcPr>
          <w:p w14:paraId="4BB5706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（1）自2022年1月1日起至投标截止时间止（以合同最终签订时间为准），具有类似大型团体活动合同业绩每个得1.5分，本项满分6分。</w:t>
            </w:r>
          </w:p>
          <w:p w14:paraId="09C61832">
            <w:pPr>
              <w:keepNext w:val="0"/>
              <w:keepLines w:val="0"/>
              <w:pageBreakBefore w:val="0"/>
              <w:widowControl/>
              <w:kinsoku/>
              <w:wordWrap/>
              <w:overflowPunct/>
              <w:topLinePunct w:val="0"/>
              <w:autoSpaceDE/>
              <w:autoSpaceDN/>
              <w:bidi w:val="0"/>
              <w:adjustRightInd/>
              <w:snapToGrid/>
              <w:spacing w:line="480" w:lineRule="exact"/>
              <w:ind w:firstLine="422" w:firstLineChars="200"/>
              <w:jc w:val="left"/>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评审依据：提供业绩合同复印件并加盖供应商公章，不提供不得分。</w:t>
            </w:r>
          </w:p>
          <w:p w14:paraId="2DD21A4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（2）具有良好信誉声誉，2022年1月1日至至投标截止时间止期间获得市级及以上政府或行业荣誉一项得1分，在此荣誉基础上每增加一项荣誉加0.5分，最多加3分。本项满分4分。 </w:t>
            </w:r>
          </w:p>
          <w:p w14:paraId="79820CD6">
            <w:pPr>
              <w:keepNext w:val="0"/>
              <w:keepLines w:val="0"/>
              <w:pageBreakBefore w:val="0"/>
              <w:widowControl/>
              <w:kinsoku/>
              <w:wordWrap/>
              <w:overflowPunct/>
              <w:topLinePunct w:val="0"/>
              <w:autoSpaceDE/>
              <w:autoSpaceDN/>
              <w:bidi w:val="0"/>
              <w:adjustRightInd/>
              <w:snapToGrid/>
              <w:spacing w:line="480" w:lineRule="exact"/>
              <w:ind w:firstLine="422" w:firstLineChars="200"/>
              <w:jc w:val="left"/>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评审依据：提供相关表彰文件或证书复印件，并加盖供应商公章，不提供不得分。</w:t>
            </w:r>
          </w:p>
        </w:tc>
        <w:tc>
          <w:tcPr>
            <w:tcW w:w="727" w:type="dxa"/>
            <w:tcBorders>
              <w:top w:val="single" w:color="auto" w:sz="4" w:space="0"/>
              <w:left w:val="single" w:color="auto" w:sz="4" w:space="0"/>
              <w:bottom w:val="single" w:color="auto" w:sz="4" w:space="0"/>
              <w:right w:val="single" w:color="auto" w:sz="4" w:space="0"/>
            </w:tcBorders>
            <w:vAlign w:val="center"/>
          </w:tcPr>
          <w:p w14:paraId="1CC851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10分</w:t>
            </w:r>
          </w:p>
        </w:tc>
      </w:tr>
      <w:tr w14:paraId="6F02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6A733C3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保险</w:t>
            </w:r>
          </w:p>
        </w:tc>
        <w:tc>
          <w:tcPr>
            <w:tcW w:w="11978" w:type="dxa"/>
            <w:tcBorders>
              <w:top w:val="single" w:color="auto" w:sz="4" w:space="0"/>
              <w:left w:val="single" w:color="auto" w:sz="4" w:space="0"/>
              <w:bottom w:val="single" w:color="auto" w:sz="4" w:space="0"/>
              <w:right w:val="single" w:color="auto" w:sz="4" w:space="0"/>
            </w:tcBorders>
            <w:vAlign w:val="center"/>
          </w:tcPr>
          <w:p w14:paraId="6DCD51C3">
            <w:pPr>
              <w:keepNext w:val="0"/>
              <w:keepLines w:val="0"/>
              <w:pageBreakBefore w:val="0"/>
              <w:widowControl/>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kern w:val="2"/>
                <w:sz w:val="21"/>
                <w:szCs w:val="21"/>
                <w:lang w:val="en-US" w:eastAsia="zh-CN" w:bidi="ar-SA"/>
              </w:rPr>
              <w:t>（1</w:t>
            </w:r>
            <w:bookmarkStart w:id="0" w:name="_GoBack"/>
            <w:bookmarkEnd w:id="0"/>
            <w:r>
              <w:rPr>
                <w:rFonts w:hint="eastAsia" w:ascii="仿宋" w:hAnsi="仿宋" w:eastAsia="仿宋" w:cs="仿宋"/>
                <w:b w:val="0"/>
                <w:bCs w:val="0"/>
                <w:color w:val="auto"/>
                <w:kern w:val="2"/>
                <w:sz w:val="21"/>
                <w:szCs w:val="21"/>
                <w:lang w:val="en-US" w:eastAsia="zh-CN" w:bidi="ar-SA"/>
              </w:rPr>
              <w:t>）</w:t>
            </w:r>
            <w:r>
              <w:rPr>
                <w:rFonts w:hint="eastAsia" w:ascii="仿宋" w:hAnsi="仿宋" w:eastAsia="仿宋" w:cs="仿宋"/>
                <w:b w:val="0"/>
                <w:bCs w:val="0"/>
                <w:color w:val="auto"/>
                <w:sz w:val="21"/>
                <w:szCs w:val="21"/>
                <w:lang w:val="en-US" w:eastAsia="zh-CN"/>
              </w:rPr>
              <w:t>承诺责任险达到1500万元（含）以上的，得5分；供应商责任险达到800万元（含）以上至1500万元以内的，得3分；供应商责任险低于800万元的得0分。其中每次事故每个人人身伤亡责任限额不低于70万（其中每次事故每人死亡、伤残赔偿限额不低于60万元，医疗费用赔偿限额不低于10万元）。</w:t>
            </w:r>
          </w:p>
          <w:p w14:paraId="0B7B5CF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评审依据：提供供应商书面承诺并加盖供应商公章，不提供不得分。</w:t>
            </w:r>
          </w:p>
        </w:tc>
        <w:tc>
          <w:tcPr>
            <w:tcW w:w="727" w:type="dxa"/>
            <w:tcBorders>
              <w:top w:val="single" w:color="auto" w:sz="4" w:space="0"/>
              <w:left w:val="single" w:color="auto" w:sz="4" w:space="0"/>
              <w:bottom w:val="single" w:color="auto" w:sz="4" w:space="0"/>
              <w:right w:val="single" w:color="auto" w:sz="4" w:space="0"/>
            </w:tcBorders>
            <w:vAlign w:val="center"/>
          </w:tcPr>
          <w:p w14:paraId="19A5CE9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5分</w:t>
            </w:r>
          </w:p>
        </w:tc>
      </w:tr>
    </w:tbl>
    <w:p w14:paraId="4AA74804">
      <w:pPr>
        <w:numPr>
          <w:ilvl w:val="0"/>
          <w:numId w:val="0"/>
        </w:numPr>
      </w:pPr>
    </w:p>
    <w:p w14:paraId="58DDF83B">
      <w:pPr>
        <w:numPr>
          <w:ilvl w:val="0"/>
          <w:numId w:val="0"/>
        </w:numPr>
      </w:pPr>
    </w:p>
    <w:p w14:paraId="31D53406">
      <w:pPr>
        <w:numPr>
          <w:ilvl w:val="0"/>
          <w:numId w:val="0"/>
        </w:numPr>
      </w:pPr>
    </w:p>
    <w:p w14:paraId="537C8C07">
      <w:pPr>
        <w:numPr>
          <w:ilvl w:val="0"/>
          <w:numId w:val="0"/>
        </w:numPr>
      </w:pPr>
    </w:p>
    <w:p w14:paraId="513BB2B3"/>
    <w:p w14:paraId="3205332E">
      <w:pPr>
        <w:pStyle w:val="2"/>
        <w:ind w:firstLine="0" w:firstLineChars="0"/>
      </w:pPr>
    </w:p>
    <w:sectPr>
      <w:footerReference r:id="rId3" w:type="default"/>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D573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2F01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42F01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YTU1ZWVlMWRlNjMxZjE0YzAyZGRhMTc3NjlhMDcifQ=="/>
  </w:docVars>
  <w:rsids>
    <w:rsidRoot w:val="3158582C"/>
    <w:rsid w:val="0221564B"/>
    <w:rsid w:val="070264DE"/>
    <w:rsid w:val="0A21735F"/>
    <w:rsid w:val="0A420161"/>
    <w:rsid w:val="0F470958"/>
    <w:rsid w:val="16970417"/>
    <w:rsid w:val="16DA2936"/>
    <w:rsid w:val="18C16440"/>
    <w:rsid w:val="18FC27B3"/>
    <w:rsid w:val="1ABC2722"/>
    <w:rsid w:val="1B7C2301"/>
    <w:rsid w:val="1BEA1837"/>
    <w:rsid w:val="29D15596"/>
    <w:rsid w:val="29D62BAC"/>
    <w:rsid w:val="2DBA6A94"/>
    <w:rsid w:val="30B716A8"/>
    <w:rsid w:val="3158582C"/>
    <w:rsid w:val="3514798D"/>
    <w:rsid w:val="357A2F85"/>
    <w:rsid w:val="360C18B4"/>
    <w:rsid w:val="37A94DC4"/>
    <w:rsid w:val="39D30EB6"/>
    <w:rsid w:val="3ADC650D"/>
    <w:rsid w:val="3E145095"/>
    <w:rsid w:val="3FEE6527"/>
    <w:rsid w:val="400A671B"/>
    <w:rsid w:val="42845453"/>
    <w:rsid w:val="43446568"/>
    <w:rsid w:val="49B30149"/>
    <w:rsid w:val="4BED5E07"/>
    <w:rsid w:val="4D5511A7"/>
    <w:rsid w:val="51CE7AE5"/>
    <w:rsid w:val="54957826"/>
    <w:rsid w:val="5AEE56F8"/>
    <w:rsid w:val="5CBD4CF4"/>
    <w:rsid w:val="66886A01"/>
    <w:rsid w:val="6E25142D"/>
    <w:rsid w:val="6F2203E8"/>
    <w:rsid w:val="718C64CC"/>
    <w:rsid w:val="719A0F60"/>
    <w:rsid w:val="742835D1"/>
    <w:rsid w:val="794C19E1"/>
    <w:rsid w:val="7B122A09"/>
    <w:rsid w:val="7B2127B7"/>
    <w:rsid w:val="7C9C4B5C"/>
    <w:rsid w:val="7D81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ind w:firstLine="200" w:firstLineChars="200"/>
      <w:jc w:val="left"/>
      <w:outlineLvl w:val="1"/>
    </w:pPr>
    <w:rPr>
      <w:rFonts w:ascii="宋体" w:hAnsi="宋体" w:eastAsia="宋体" w:cs="宋体"/>
      <w:b/>
      <w:bCs/>
      <w:kern w:val="0"/>
      <w:sz w:val="28"/>
      <w:szCs w:val="3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2"/>
    <w:basedOn w:val="1"/>
    <w:next w:val="1"/>
    <w:unhideWhenUsed/>
    <w:qFormat/>
    <w:uiPriority w:val="39"/>
    <w:pPr>
      <w:widowControl/>
      <w:ind w:left="420" w:leftChars="200"/>
      <w:jc w:val="left"/>
    </w:pPr>
    <w:rPr>
      <w:rFonts w:ascii="宋体" w:hAnsi="宋体" w:eastAsia="宋体" w:cs="宋体"/>
      <w:kern w:val="0"/>
      <w:sz w:val="24"/>
      <w:szCs w:val="24"/>
    </w:rPr>
  </w:style>
  <w:style w:type="table" w:styleId="6">
    <w:name w:val="Table Grid"/>
    <w:basedOn w:val="5"/>
    <w:qFormat/>
    <w:uiPriority w:val="59"/>
    <w:rPr>
      <w:rFonts w:asciiTheme="majorHAnsi" w:hAnsiTheme="majorHAnsi" w:eastAsiaTheme="majorEastAsia" w:cstheme="maj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1848</Words>
  <Characters>1910</Characters>
  <Lines>0</Lines>
  <Paragraphs>0</Paragraphs>
  <TotalTime>85</TotalTime>
  <ScaleCrop>false</ScaleCrop>
  <LinksUpToDate>false</LinksUpToDate>
  <CharactersWithSpaces>1916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2024-03-28T01:19:00Z</dcterms:created>
  <dc:creator>朱海蓉</dc:creator>
  <cp:lastModifiedBy>夏日飞雪</cp:lastModifiedBy>
  <cp:lastPrinted>2025-04-29T08:46:00Z</cp:lastPrinted>
  <dcterms:modified xsi:type="dcterms:W3CDTF">2025-05-12T02:32:29Z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6A21BF20A5D94442B12F3EC2FC60E1C2_11</vt:lpwstr>
  </property>
  <property fmtid="{D5CDD505-2E9C-101B-9397-08002B2CF9AE}" pid="4" name="KSOTemplateDocerSaveRecord">
    <vt:lpwstr>eyJoZGlkIjoiY2U3NjI5ODczZDY5OWI1YTIxMTgyMmYwZDdlNjUwMjYiLCJ1c2VySWQiOiIyNzI5MzUyODAifQ==</vt:lpwstr>
  </property>
</Properties>
</file>